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EB" w:rsidRDefault="00CE5FEB">
      <w:pPr>
        <w:pStyle w:val="ConsPlusNormal0"/>
        <w:jc w:val="both"/>
        <w:outlineLvl w:val="0"/>
      </w:pPr>
      <w:bookmarkStart w:id="0" w:name="_GoBack"/>
      <w:bookmarkEnd w:id="0"/>
    </w:p>
    <w:p w:rsidR="00CE5FEB" w:rsidRDefault="0027751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E5FEB" w:rsidRDefault="00CE5FEB">
      <w:pPr>
        <w:pStyle w:val="ConsPlusTitle0"/>
        <w:jc w:val="center"/>
      </w:pPr>
    </w:p>
    <w:p w:rsidR="00CE5FEB" w:rsidRDefault="0027751B">
      <w:pPr>
        <w:pStyle w:val="ConsPlusTitle0"/>
        <w:jc w:val="center"/>
      </w:pPr>
      <w:r>
        <w:t>ПОСТАНОВЛЕНИЕ</w:t>
      </w:r>
    </w:p>
    <w:p w:rsidR="00CE5FEB" w:rsidRDefault="0027751B">
      <w:pPr>
        <w:pStyle w:val="ConsPlusTitle0"/>
        <w:jc w:val="center"/>
      </w:pPr>
      <w:r>
        <w:t>от 21 декабря 2023 г. N 2244</w:t>
      </w:r>
    </w:p>
    <w:p w:rsidR="00CE5FEB" w:rsidRDefault="00CE5FEB">
      <w:pPr>
        <w:pStyle w:val="ConsPlusTitle0"/>
        <w:jc w:val="center"/>
      </w:pPr>
    </w:p>
    <w:p w:rsidR="00CE5FEB" w:rsidRDefault="0027751B">
      <w:pPr>
        <w:pStyle w:val="ConsPlusTitle0"/>
        <w:jc w:val="center"/>
      </w:pPr>
      <w:r>
        <w:t>О ВНЕСЕНИИ ИЗМЕНЕНИЙ</w:t>
      </w:r>
    </w:p>
    <w:p w:rsidR="00CE5FEB" w:rsidRDefault="0027751B">
      <w:pPr>
        <w:pStyle w:val="ConsPlusTitle0"/>
        <w:jc w:val="center"/>
      </w:pPr>
      <w:r>
        <w:t>В ПОСТАНОВЛЕНИЕ ПРАВИТЕЛЬСТВА РОССИЙСКОЙ ФЕДЕРАЦИИ</w:t>
      </w:r>
    </w:p>
    <w:p w:rsidR="00CE5FEB" w:rsidRDefault="0027751B">
      <w:pPr>
        <w:pStyle w:val="ConsPlusTitle0"/>
        <w:jc w:val="center"/>
      </w:pPr>
      <w:r>
        <w:t>ОТ 25 ИЮНЯ 2021 Г. N 991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Утвердить прилагаемые </w:t>
      </w:r>
      <w:hyperlink w:anchor="P26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области железнодорожного транспорта, утвержденное постановлением Правительства Российской Федерации от </w:t>
      </w:r>
      <w:r>
        <w:t>25 июня 2021 г. N 991 "Об утверждении Положения о федеральном государственном контроле (надзоре) в области железнодорожного транспорта" (Собрание законодательства Российской Федерации, 2021, N 27, ст. 5379).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jc w:val="right"/>
      </w:pPr>
      <w:r>
        <w:t>Председатель Правительства</w:t>
      </w:r>
    </w:p>
    <w:p w:rsidR="00CE5FEB" w:rsidRDefault="0027751B">
      <w:pPr>
        <w:pStyle w:val="ConsPlusNormal0"/>
        <w:jc w:val="right"/>
      </w:pPr>
      <w:r>
        <w:t>Российской Федерации</w:t>
      </w:r>
    </w:p>
    <w:p w:rsidR="00CE5FEB" w:rsidRDefault="0027751B">
      <w:pPr>
        <w:pStyle w:val="ConsPlusNormal0"/>
        <w:jc w:val="right"/>
      </w:pPr>
      <w:r>
        <w:t>М.МИШУСТИН</w:t>
      </w:r>
    </w:p>
    <w:p w:rsidR="00CE5FEB" w:rsidRDefault="00CE5FEB">
      <w:pPr>
        <w:pStyle w:val="ConsPlusNormal0"/>
        <w:jc w:val="both"/>
      </w:pPr>
    </w:p>
    <w:p w:rsidR="00CE5FEB" w:rsidRDefault="00CE5FEB">
      <w:pPr>
        <w:pStyle w:val="ConsPlusNormal0"/>
        <w:jc w:val="both"/>
      </w:pPr>
    </w:p>
    <w:p w:rsidR="00CE5FEB" w:rsidRDefault="00CE5FEB">
      <w:pPr>
        <w:pStyle w:val="ConsPlusNormal0"/>
        <w:jc w:val="both"/>
      </w:pPr>
    </w:p>
    <w:p w:rsidR="00CE5FEB" w:rsidRDefault="00CE5FEB">
      <w:pPr>
        <w:pStyle w:val="ConsPlusNormal0"/>
        <w:jc w:val="both"/>
      </w:pP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jc w:val="right"/>
        <w:outlineLvl w:val="0"/>
      </w:pPr>
      <w:r>
        <w:t>Утверждены</w:t>
      </w:r>
    </w:p>
    <w:p w:rsidR="00CE5FEB" w:rsidRDefault="0027751B">
      <w:pPr>
        <w:pStyle w:val="ConsPlusNormal0"/>
        <w:jc w:val="right"/>
      </w:pPr>
      <w:r>
        <w:t>постановлением Правительства</w:t>
      </w:r>
    </w:p>
    <w:p w:rsidR="00CE5FEB" w:rsidRDefault="0027751B">
      <w:pPr>
        <w:pStyle w:val="ConsPlusNormal0"/>
        <w:jc w:val="right"/>
      </w:pPr>
      <w:r>
        <w:t>Российской Федерации</w:t>
      </w:r>
    </w:p>
    <w:p w:rsidR="00CE5FEB" w:rsidRDefault="0027751B">
      <w:pPr>
        <w:pStyle w:val="ConsPlusNormal0"/>
        <w:jc w:val="right"/>
      </w:pPr>
      <w:r>
        <w:t>от 21 декабря 2023 г. N 2244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Title0"/>
        <w:jc w:val="center"/>
      </w:pPr>
      <w:bookmarkStart w:id="1" w:name="P26"/>
      <w:bookmarkEnd w:id="1"/>
      <w:r>
        <w:t>ИЗМЕНЕНИЯ,</w:t>
      </w:r>
    </w:p>
    <w:p w:rsidR="00CE5FEB" w:rsidRDefault="0027751B">
      <w:pPr>
        <w:pStyle w:val="ConsPlusTitle0"/>
        <w:jc w:val="center"/>
      </w:pPr>
      <w:proofErr w:type="gramStart"/>
      <w:r>
        <w:t>КОТОРЫЕ</w:t>
      </w:r>
      <w:proofErr w:type="gramEnd"/>
      <w:r>
        <w:t xml:space="preserve"> ВНОСЯТСЯ В ПОЛОЖЕНИЕ О ФЕДЕРАЛЬНОМ ГОСУДАРСТВЕННОМ</w:t>
      </w:r>
    </w:p>
    <w:p w:rsidR="00CE5FEB" w:rsidRDefault="0027751B">
      <w:pPr>
        <w:pStyle w:val="ConsPlusTitle0"/>
        <w:jc w:val="center"/>
      </w:pPr>
      <w:proofErr w:type="gramStart"/>
      <w:r>
        <w:t>КОНТРОЛЕ</w:t>
      </w:r>
      <w:proofErr w:type="gramEnd"/>
      <w:r>
        <w:t xml:space="preserve"> (НАДЗОРЕ) В ОБЛАСТИ ЖЕЛЕЗНОДОРОЖНОГО ТРАНСПОРТА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ind w:firstLine="540"/>
        <w:jc w:val="both"/>
      </w:pPr>
      <w:r>
        <w:t xml:space="preserve">1. В </w:t>
      </w:r>
      <w:hyperlink r:id="rId8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подпункте "г" пункта 3</w:t>
        </w:r>
      </w:hyperlink>
      <w:r>
        <w:t xml:space="preserve"> слова "статьей 4" заменить словами "разделами V, VIII".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2. </w:t>
      </w:r>
      <w:hyperlink r:id="rId9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"4(1). Должностными лицами, уполномоченными на принятие решений о проведении контрольных (надзорных) мероприятий, являются: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а) руководитель (заместитель руководителя) контролирующего ор</w:t>
      </w:r>
      <w:r>
        <w:t>гана;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б) руководитель (заместитель руководителя) территориального органа контролирующего органа (начальник (заместитель начальника) территориального управления)</w:t>
      </w:r>
      <w:proofErr w:type="gramStart"/>
      <w:r>
        <w:t>."</w:t>
      </w:r>
      <w:proofErr w:type="gramEnd"/>
      <w:r>
        <w:t>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3. </w:t>
      </w:r>
      <w:hyperlink r:id="rId10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lastRenderedPageBreak/>
        <w:t>"6. Объектами государственного контроля (надзора) (далее - объект контроля) являются: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а) в рамках </w:t>
      </w:r>
      <w:hyperlink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1 части 1 статьи 16</w:t>
        </w:r>
      </w:hyperlink>
      <w:r>
        <w:t xml:space="preserve"> Федерального закона о государственном контроле (надзоре):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организаций-лицензиатов, осуществляющих деятельность по перевозкам железнодорожным</w:t>
      </w:r>
      <w:r>
        <w:t xml:space="preserve">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организаций и индивидуальных предпринимателей, осуществляющих: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по</w:t>
      </w:r>
      <w:r>
        <w:t xml:space="preserve"> перевозке грузов, багажа,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погрузочно-разгрузочную деятельность на железнодорожном транспорте;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деятельность по эксплуатации инфраструктуры железнодорожного транспорта общего пользования и составных частей подсистем </w:t>
      </w:r>
      <w:r>
        <w:t>и элементов составных частей подсистем инфраструктуры железнодорожного транспорта;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</w:t>
      </w:r>
      <w:r>
        <w:t>аструктуры железнодорожного транспорта;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по обслуживанию и р</w:t>
      </w:r>
      <w:r>
        <w:t>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железнодорожного подвижного состава и его составных частей;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деяте</w:t>
      </w:r>
      <w:r>
        <w:t>льность по обслуживанию и ремонту железнодорожного подвижного состава и его составных частей;</w:t>
      </w:r>
    </w:p>
    <w:p w:rsidR="00CE5FEB" w:rsidRDefault="0027751B">
      <w:pPr>
        <w:pStyle w:val="ConsPlusNormal0"/>
        <w:spacing w:before="240"/>
        <w:ind w:firstLine="540"/>
        <w:jc w:val="both"/>
      </w:pPr>
      <w:proofErr w:type="gramStart"/>
      <w:r>
        <w:t xml:space="preserve">б) в рамках </w:t>
      </w: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2 части 1 статьи 16</w:t>
        </w:r>
      </w:hyperlink>
      <w:r>
        <w:t xml:space="preserve"> Федерального закона о государственном контрол</w:t>
      </w:r>
      <w:r>
        <w:t>е (надзоре) - выполненные (оказанные)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</w:t>
      </w:r>
      <w:r>
        <w:t xml:space="preserve"> а также иные работы (услуги), связанные с организацией и осуществлением перевозок пассажиров, грузов, багажа и </w:t>
      </w:r>
      <w:proofErr w:type="spellStart"/>
      <w:r>
        <w:t>грузобагажа</w:t>
      </w:r>
      <w:proofErr w:type="spellEnd"/>
      <w:r>
        <w:t xml:space="preserve"> железнодорожным</w:t>
      </w:r>
      <w:proofErr w:type="gramEnd"/>
      <w:r>
        <w:t xml:space="preserve"> транспортом);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в) в рамках </w:t>
      </w:r>
      <w:hyperlink r:id="rId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3 час</w:t>
        </w:r>
        <w:r>
          <w:rPr>
            <w:color w:val="0000FF"/>
          </w:rPr>
          <w:t>ти 1 статьи 16</w:t>
        </w:r>
      </w:hyperlink>
      <w:r>
        <w:t xml:space="preserve"> Федерального закона о государственном контроле (надзоре):</w:t>
      </w:r>
    </w:p>
    <w:p w:rsidR="00CE5FEB" w:rsidRDefault="0027751B">
      <w:pPr>
        <w:pStyle w:val="ConsPlusNormal0"/>
        <w:spacing w:before="240"/>
        <w:ind w:firstLine="540"/>
        <w:jc w:val="both"/>
      </w:pPr>
      <w:proofErr w:type="gramStart"/>
      <w:r>
        <w:t xml:space="preserve">подсистемы инфраструктуры железнодорожного транспорта (в том числе железнодорожные </w:t>
      </w:r>
      <w:r>
        <w:lastRenderedPageBreak/>
        <w:t>пути, железнодорожные устройства электроснабжения, железнодорожные системы автоматики и телемеханики</w:t>
      </w:r>
      <w:r>
        <w:t>, железнодорожная электросвязь, а также станционные здания, сооружения и устройства),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транспорта, железнодорожный под</w:t>
      </w:r>
      <w:r>
        <w:t>вижной состав, высокоскоростной железнодорожный подвижной состав, их составные части, выпускаемые в обращение на таможенной территории Евразийского экономического союза в</w:t>
      </w:r>
      <w:proofErr w:type="gramEnd"/>
      <w:r>
        <w:t xml:space="preserve"> соответствии с требованиями технических регламентов Таможенного союза "О безопасности</w:t>
      </w:r>
      <w:r>
        <w:t xml:space="preserve"> железнодорожного подвижного состава" </w:t>
      </w:r>
      <w:hyperlink r:id="rId14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(</w:t>
        </w:r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001/2011)</w:t>
        </w:r>
      </w:hyperlink>
      <w:r>
        <w:t xml:space="preserve">, "О безопасности высокоскоростного железнодорожного транспорта" </w:t>
      </w:r>
      <w:hyperlink r:id="rId15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(ТР ТС 002/2011)</w:t>
        </w:r>
      </w:hyperlink>
      <w:r>
        <w:t xml:space="preserve"> и "О безопасности инфраструктуры железнодорожного транспорта" </w:t>
      </w:r>
      <w:hyperlink r:id="rId16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(ТР ТС 003/2011)</w:t>
        </w:r>
      </w:hyperlink>
      <w:r>
        <w:t>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инфраструктура железнодорожного транспорта общего пользования и ее составные части подсистем и элементов составных частей подсистем, железнодорожный подвижной сос</w:t>
      </w:r>
      <w:r>
        <w:t>тав и его составные части, железнодорожные пути необщего пользования и его составные части подсистем и элементов составных частей подсистем</w:t>
      </w:r>
      <w:proofErr w:type="gramStart"/>
      <w:r>
        <w:t>.".</w:t>
      </w:r>
      <w:proofErr w:type="gramEnd"/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4. В </w:t>
      </w:r>
      <w:hyperlink r:id="rId17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</w:t>
        </w:r>
        <w:r>
          <w:rPr>
            <w:color w:val="0000FF"/>
          </w:rPr>
          <w:t>ункте 9</w:t>
        </w:r>
      </w:hyperlink>
      <w:r>
        <w:t>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а) после </w:t>
      </w:r>
      <w:hyperlink r:id="rId18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абзаца семнадцатого</w:t>
        </w:r>
      </w:hyperlink>
      <w:r>
        <w:t xml:space="preserve"> дополнить абзацем следующего содержания: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"погрузочно-разгрузочная деятельность на железнодорожном транспорте</w:t>
      </w:r>
      <w:proofErr w:type="gramStart"/>
      <w:r>
        <w:t>;"</w:t>
      </w:r>
      <w:proofErr w:type="gramEnd"/>
      <w:r>
        <w:t>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б) </w:t>
      </w:r>
      <w:hyperlink r:id="rId19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 тридцать третий</w:t>
        </w:r>
      </w:hyperlink>
      <w:r>
        <w:t xml:space="preserve"> дополнить словами ", либо объекты контроля контролируемых лиц, в отношении которых в контролирующем органе отсутствует инфо</w:t>
      </w:r>
      <w:r>
        <w:t>рмация о допущенных в течение последних 5 лет нарушениях обязательных требований</w:t>
      </w:r>
      <w:proofErr w:type="gramStart"/>
      <w:r>
        <w:t>;"</w:t>
      </w:r>
      <w:proofErr w:type="gramEnd"/>
      <w:r>
        <w:t>;</w:t>
      </w:r>
    </w:p>
    <w:p w:rsidR="00CE5FEB" w:rsidRDefault="0027751B">
      <w:pPr>
        <w:pStyle w:val="ConsPlusNormal0"/>
        <w:spacing w:before="240"/>
        <w:ind w:firstLine="540"/>
        <w:jc w:val="both"/>
      </w:pPr>
      <w:hyperlink r:id="rId20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абзацы тридцать четвертый</w:t>
        </w:r>
      </w:hyperlink>
      <w:r>
        <w:t xml:space="preserve"> и </w:t>
      </w:r>
      <w:hyperlink r:id="rId21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тридцать пятый</w:t>
        </w:r>
      </w:hyperlink>
      <w:r>
        <w:t xml:space="preserve"> изложить в следующей редакции: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"к категории вероятности 6 относятся объекты контроля контролируемых лиц, принявших декларацию о соблюден</w:t>
      </w:r>
      <w:r>
        <w:t>ии обязательных требований и соответствующих критерию (критериям) добросовестности.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При наличии критериев, позволяющих отнести объект контроля к различным категориям вероятности наступления потенциальных негативных последствий, в случае принятия контролиру</w:t>
      </w:r>
      <w:r>
        <w:t>емым лицом декларации о соблюдении обязательных требований и соответствия объекта контроля критерию (критериям) добросовестности объект контроля относят к категории вероятности 6.".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После </w:t>
      </w:r>
      <w:hyperlink r:id="rId22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абзаца тридцать пятого</w:t>
        </w:r>
      </w:hyperlink>
      <w:r>
        <w:t xml:space="preserve"> дополнить абзацем следующего содержания: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"При наличии критериев, позволяющих отнести объект контроля к различным категориям вероятности наступления потенциальных негативных последствий, и при от</w:t>
      </w:r>
      <w:r>
        <w:t>сутствии декларации о соблюдении обязательных требований и несоответствии объекта контроля критерию (критериям) добросовестности объект контроля относят к более высокой категории вероятности</w:t>
      </w:r>
      <w:proofErr w:type="gramStart"/>
      <w:r>
        <w:t>.".</w:t>
      </w:r>
      <w:proofErr w:type="gramEnd"/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5. </w:t>
      </w:r>
      <w:hyperlink r:id="rId23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"меры стимулирования добросовестности</w:t>
      </w:r>
      <w:proofErr w:type="gramStart"/>
      <w:r>
        <w:t>.".</w:t>
      </w:r>
      <w:proofErr w:type="gramEnd"/>
    </w:p>
    <w:p w:rsidR="00CE5FEB" w:rsidRDefault="0027751B">
      <w:pPr>
        <w:pStyle w:val="ConsPlusNormal0"/>
        <w:spacing w:before="240"/>
        <w:ind w:firstLine="540"/>
        <w:jc w:val="both"/>
      </w:pPr>
      <w:r>
        <w:lastRenderedPageBreak/>
        <w:t xml:space="preserve">6. В </w:t>
      </w:r>
      <w:hyperlink r:id="rId24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</w:t>
        </w:r>
        <w:r>
          <w:rPr>
            <w:color w:val="0000FF"/>
          </w:rPr>
          <w:t>е пятнадцатом пункта 16</w:t>
        </w:r>
      </w:hyperlink>
      <w:r>
        <w:t xml:space="preserve"> слово "календарный" заменить словом "рабочий".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7. </w:t>
      </w:r>
      <w:hyperlink r:id="rId25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Раздел V</w:t>
        </w:r>
      </w:hyperlink>
      <w:r>
        <w:t xml:space="preserve"> дополнить подразделом 6 следующего содержания: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jc w:val="center"/>
      </w:pPr>
      <w:r>
        <w:t>"6. Меры стимулирования добросовестности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ind w:firstLine="540"/>
        <w:jc w:val="both"/>
      </w:pPr>
      <w:r>
        <w:t xml:space="preserve">16(1). </w:t>
      </w:r>
      <w:proofErr w:type="gramStart"/>
      <w:r>
        <w:t>В целях мотивации контролируемых лиц к соблюд</w:t>
      </w:r>
      <w:r>
        <w:t xml:space="preserve">ению обязательных требований контролирующий орган проводит мероприятия, направленные на нематериальное поощрение добросовестных контролируемых лиц (меры стимулирования добросовестности) - присвоение контролируемому лицу </w:t>
      </w:r>
      <w:proofErr w:type="spellStart"/>
      <w:r>
        <w:t>репутационного</w:t>
      </w:r>
      <w:proofErr w:type="spellEnd"/>
      <w:r>
        <w:t xml:space="preserve"> статуса, обозначающег</w:t>
      </w:r>
      <w:r>
        <w:t>о добросовестное соблюдение контролируемым лицом обязательных требований, предоставление контролируемому лицу права публично размещать указанную информацию в открытых источниках (в том числе в информационных и рекламных целях), снижение категории риска объ</w:t>
      </w:r>
      <w:r>
        <w:t>екта контроля до</w:t>
      </w:r>
      <w:proofErr w:type="gramEnd"/>
      <w:r>
        <w:t xml:space="preserve"> низкой, исключающее проведение плановых контрольных (надзорных) мероприятий.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Меры стимулирования добросовестности применяются к контролируемым лицам, принявшим декларацию о соблюдении обязательных требований и соответствующим критерию (кри</w:t>
      </w:r>
      <w:r>
        <w:t>териям) добросовестности.</w:t>
      </w:r>
    </w:p>
    <w:p w:rsidR="00CE5FEB" w:rsidRDefault="0027751B">
      <w:pPr>
        <w:pStyle w:val="ConsPlusNormal0"/>
        <w:spacing w:before="240"/>
        <w:ind w:firstLine="540"/>
        <w:jc w:val="both"/>
      </w:pPr>
      <w:proofErr w:type="gramStart"/>
      <w:r>
        <w:t>Оценка добросовестности контролируемых лиц, владельцев объектов контроля всех категорий риска, осуществляющих деятельность не менее 3 лет, проводится территориальным органом контролирующего органа, принявшим решение об отнесении о</w:t>
      </w:r>
      <w:r>
        <w:t>бъектов контроля контролируемого лица к одной из категорий риска, в том числе на основании поступления в контролирующий орган от контролируемого лица декларации о соблюдении обязательных требований и копий документов, подтверждающих соответствие контролиру</w:t>
      </w:r>
      <w:r>
        <w:t>емого лица критерию (критериям</w:t>
      </w:r>
      <w:proofErr w:type="gramEnd"/>
      <w:r>
        <w:t>) добросовестности, при условии заполнения в личном кабинете контролируемого лица, размещенного на официальном сайте контролирующего органа в сети "Интернет" и интегрированного с информационными системами контролирующего орган</w:t>
      </w:r>
      <w:r>
        <w:t>а, опросной формы по виду и предмету осуществляемой деятельности.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Критериями добросовестности являются (если применимо к объекту контроля):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отсутствие в течение 2 лет до даты проведения оценки по причине действия (бездействия) владельца объекта контроля тр</w:t>
      </w:r>
      <w:r>
        <w:t>анспортных происшествий (крушений и аварий), допущенных на железнодорожном транспорте;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отсутствие в течение 1 года до даты проведения оценки фактов несвоевременного и недостоверного представления контролируемым лицом в контролирующий орган обязательной инф</w:t>
      </w:r>
      <w:r>
        <w:t>ормации, предусмотренной нормативными правовыми актами в области железнодорожного транспорта;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наличие д</w:t>
      </w:r>
      <w:r>
        <w:t>оговора добровольного страхования рисков причинения вреда (ущерба) охраняемым законом ценностям вследствие нарушения контролируемым лицом обязательных требований;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lastRenderedPageBreak/>
        <w:t>наличие внедренных сертифицированных систем внутреннего контроля в соответствующей сфере деят</w:t>
      </w:r>
      <w:r>
        <w:t>ельности.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Декларация о соблюдении обязательных требований и копии документов, указанные в настоящем пункт</w:t>
      </w:r>
      <w:r>
        <w:t>е, должны быть подписаны руководителем контролируемого лица.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Информирование контролируемых лиц о применении в отношении их мер стимулирования добросовестности осуществляется контролирующим органом посредством размещения соответствующих сведений на официаль</w:t>
      </w:r>
      <w:r>
        <w:t>ном сайте контролирующего органа в сети "Интернет" в срок не позднее 5 рабочих дней со дня принятия решения о применении указанных мер</w:t>
      </w:r>
      <w:proofErr w:type="gramStart"/>
      <w:r>
        <w:t>.".</w:t>
      </w:r>
      <w:proofErr w:type="gramEnd"/>
    </w:p>
    <w:p w:rsidR="00CE5FEB" w:rsidRDefault="00CE5FEB">
      <w:pPr>
        <w:pStyle w:val="ConsPlusNormal0"/>
        <w:ind w:firstLine="540"/>
        <w:jc w:val="both"/>
      </w:pPr>
    </w:p>
    <w:p w:rsidR="00CE5FEB" w:rsidRDefault="0027751B">
      <w:pPr>
        <w:pStyle w:val="ConsPlusNormal0"/>
        <w:ind w:firstLine="540"/>
        <w:jc w:val="both"/>
      </w:pPr>
      <w:r>
        <w:t xml:space="preserve">8. </w:t>
      </w:r>
      <w:hyperlink r:id="rId26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 xml:space="preserve">Абзацы </w:t>
        </w:r>
        <w:r>
          <w:rPr>
            <w:color w:val="0000FF"/>
          </w:rPr>
          <w:t>первый</w:t>
        </w:r>
      </w:hyperlink>
      <w:r>
        <w:t xml:space="preserve"> - </w:t>
      </w:r>
      <w:hyperlink r:id="rId27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пятнадцатый пункта 18</w:t>
        </w:r>
      </w:hyperlink>
      <w:r>
        <w:t xml:space="preserve"> заменить текстом следующего содержания: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"18. Государственный контроль (надзор) осуществляется посредством проведения с</w:t>
      </w:r>
      <w:r>
        <w:t>ледующих контрольных (надзорных) мероприятий с взаимодействием с контролируемым лицом: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выборочный контроль;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инспекционный визит;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рейдовый осмотр;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документарная проверка;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выездная проверка.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Государственный контроль (надзор) осуществляется посредством проведения следующих контрольных (надзорных) мероприятий без взаимодействия с контролируемым лицом: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наблюдение за соблюдением обязательных требований (мониторинг безопасности);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выездное обследование.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Контрольные (надзорные) мероприятия с взаимодействием с контролируемым лицом могут проводиться на плановой и внеплановой основе путем совершения следующих контрольных (надзорных) действий: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осмотр;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опрос;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получение письменных объяснен</w:t>
      </w:r>
      <w:r>
        <w:t>ий;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lastRenderedPageBreak/>
        <w:t>отбор проб (образцов);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испытание;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экспертиза</w:t>
      </w:r>
      <w:proofErr w:type="gramStart"/>
      <w:r>
        <w:t>.".</w:t>
      </w:r>
      <w:proofErr w:type="gramEnd"/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9. В </w:t>
      </w:r>
      <w:hyperlink r:id="rId28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пункте 20</w:t>
        </w:r>
      </w:hyperlink>
      <w:r>
        <w:t>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а) после </w:t>
      </w:r>
      <w:hyperlink r:id="rId29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абзаца четвертого</w:t>
        </w:r>
      </w:hyperlink>
      <w:r>
        <w:t xml:space="preserve"> дополнить абзацем следующего содержания: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>"истребование документов, которые в соответствии с обязательными требованиями должны находиться в месте на</w:t>
      </w:r>
      <w:r>
        <w:t>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proofErr w:type="gramStart"/>
      <w:r>
        <w:t>;"</w:t>
      </w:r>
      <w:proofErr w:type="gramEnd"/>
      <w:r>
        <w:t>;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б) в </w:t>
      </w:r>
      <w:hyperlink r:id="rId30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абзаце шестом</w:t>
        </w:r>
      </w:hyperlink>
      <w:r>
        <w:t xml:space="preserve"> слово "календарный" заменить словом "рабочий".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10. В </w:t>
      </w:r>
      <w:hyperlink r:id="rId31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абзаце четвертом пункта 22</w:t>
        </w:r>
      </w:hyperlink>
      <w:r>
        <w:t xml:space="preserve"> слово "календарных" заменить словом "рабоч</w:t>
      </w:r>
      <w:r>
        <w:t>их".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11. В </w:t>
      </w:r>
      <w:hyperlink r:id="rId32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абзаце десятом пункта 23</w:t>
        </w:r>
      </w:hyperlink>
      <w:r>
        <w:t xml:space="preserve"> слово "календарных" заменить словом "рабочих".</w:t>
      </w:r>
    </w:p>
    <w:p w:rsidR="00CE5FEB" w:rsidRDefault="0027751B">
      <w:pPr>
        <w:pStyle w:val="ConsPlusNormal0"/>
        <w:spacing w:before="240"/>
        <w:ind w:firstLine="540"/>
        <w:jc w:val="both"/>
      </w:pPr>
      <w:r>
        <w:t xml:space="preserve">12. </w:t>
      </w:r>
      <w:hyperlink r:id="rId33" w:tooltip="Постановление Правительства РФ от 25.06.2021 N 991 (ред. от 20.11.2021) &quot;Об утверждении Положения о федеральном государственном контроле (надзоре) в области железнодорожного транспорта&quot; ------------ Недействующая редакция {КонсультантПлюс}">
        <w:r>
          <w:rPr>
            <w:color w:val="0000FF"/>
          </w:rPr>
          <w:t>Раздел VI</w:t>
        </w:r>
      </w:hyperlink>
      <w:r>
        <w:t xml:space="preserve"> дополнить подразделом 8 следующего содержания: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jc w:val="center"/>
      </w:pPr>
      <w:r>
        <w:t>"8. Наблюдение за соблюдением обязательных требований</w:t>
      </w:r>
    </w:p>
    <w:p w:rsidR="00CE5FEB" w:rsidRDefault="0027751B">
      <w:pPr>
        <w:pStyle w:val="ConsPlusNormal0"/>
        <w:jc w:val="center"/>
      </w:pPr>
      <w:r>
        <w:t>(мониторинг безопасности)</w:t>
      </w:r>
    </w:p>
    <w:p w:rsidR="00CE5FEB" w:rsidRDefault="00CE5FEB">
      <w:pPr>
        <w:pStyle w:val="ConsPlusNormal0"/>
        <w:jc w:val="both"/>
      </w:pPr>
    </w:p>
    <w:p w:rsidR="00CE5FEB" w:rsidRDefault="0027751B">
      <w:pPr>
        <w:pStyle w:val="ConsPlusNormal0"/>
        <w:ind w:firstLine="540"/>
        <w:jc w:val="both"/>
      </w:pPr>
      <w:r>
        <w:t xml:space="preserve">24(1). </w:t>
      </w:r>
      <w:proofErr w:type="gramStart"/>
      <w:r>
        <w:t>Контролирующий орган при наблюдении за соблюдением обязательных т</w:t>
      </w:r>
      <w:r>
        <w:t>ребований (мониторинг безопасности) в рамках осуществления государственного контроля (надзора) проводит сбор, анализ данных об объектах контроля, имеющихся у контролирующего органа, в том числе данных, которые поступают в ходе межведомственного информацион</w:t>
      </w:r>
      <w:r>
        <w:t>ного взаимодействия, данных, представляемых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</w:t>
      </w:r>
      <w:proofErr w:type="gramEnd"/>
      <w:r>
        <w:t xml:space="preserve"> "Интернет", иных общедоступных данных, а </w:t>
      </w:r>
      <w:r>
        <w:t>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proofErr w:type="gramStart"/>
      <w:r>
        <w:t>.".</w:t>
      </w:r>
      <w:proofErr w:type="gramEnd"/>
    </w:p>
    <w:p w:rsidR="00CE5FEB" w:rsidRDefault="00CE5FEB">
      <w:pPr>
        <w:pStyle w:val="ConsPlusNormal0"/>
        <w:jc w:val="both"/>
      </w:pPr>
    </w:p>
    <w:p w:rsidR="00CE5FEB" w:rsidRDefault="00CE5FEB">
      <w:pPr>
        <w:pStyle w:val="ConsPlusNormal0"/>
        <w:jc w:val="both"/>
      </w:pPr>
    </w:p>
    <w:p w:rsidR="00CE5FEB" w:rsidRDefault="00CE5FE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5FEB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1B" w:rsidRDefault="0027751B">
      <w:r>
        <w:separator/>
      </w:r>
    </w:p>
  </w:endnote>
  <w:endnote w:type="continuationSeparator" w:id="0">
    <w:p w:rsidR="0027751B" w:rsidRDefault="0027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EB" w:rsidRDefault="00CE5FE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5FE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5FEB" w:rsidRDefault="002775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5FEB" w:rsidRDefault="0027751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5FEB" w:rsidRDefault="0027751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455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4556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E5FEB" w:rsidRDefault="0027751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EB" w:rsidRDefault="00CE5FE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5FE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5FEB" w:rsidRDefault="002775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5FEB" w:rsidRDefault="0027751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5FEB" w:rsidRDefault="0027751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455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4556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E5FEB" w:rsidRDefault="0027751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1B" w:rsidRDefault="0027751B">
      <w:r>
        <w:separator/>
      </w:r>
    </w:p>
  </w:footnote>
  <w:footnote w:type="continuationSeparator" w:id="0">
    <w:p w:rsidR="0027751B" w:rsidRDefault="0027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E5FE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5FEB" w:rsidRDefault="002775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21.12.2023 N 2244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Правительства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Федер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E5FEB" w:rsidRDefault="0027751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21.08.2025</w:t>
          </w:r>
        </w:p>
      </w:tc>
    </w:tr>
  </w:tbl>
  <w:p w:rsidR="00CE5FEB" w:rsidRDefault="00CE5FE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5FEB" w:rsidRDefault="00CE5FE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E5FE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5FEB" w:rsidRDefault="002775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21.12.2023 N 2244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Правительства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Федер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E5FEB" w:rsidRDefault="0027751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21.08.2025</w:t>
          </w:r>
        </w:p>
      </w:tc>
    </w:tr>
  </w:tbl>
  <w:p w:rsidR="00CE5FEB" w:rsidRDefault="00CE5FE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5FEB" w:rsidRDefault="00CE5FE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EB"/>
    <w:rsid w:val="0027751B"/>
    <w:rsid w:val="00524556"/>
    <w:rsid w:val="00C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4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4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6567&amp;date=21.08.2025&amp;dst=101116&amp;field=134" TargetMode="External"/><Relationship Id="rId18" Type="http://schemas.openxmlformats.org/officeDocument/2006/relationships/hyperlink" Target="https://login.consultant.ru/link/?req=doc&amp;base=LAW&amp;n=400938&amp;date=21.08.2025&amp;dst=100066&amp;field=134" TargetMode="External"/><Relationship Id="rId26" Type="http://schemas.openxmlformats.org/officeDocument/2006/relationships/hyperlink" Target="https://login.consultant.ru/link/?req=doc&amp;base=LAW&amp;n=400938&amp;date=21.08.2025&amp;dst=100149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00938&amp;date=21.08.2025&amp;dst=100084&amp;fie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00938&amp;date=21.08.2025&amp;dst=100010&amp;field=134" TargetMode="External"/><Relationship Id="rId12" Type="http://schemas.openxmlformats.org/officeDocument/2006/relationships/hyperlink" Target="https://login.consultant.ru/link/?req=doc&amp;base=LAW&amp;n=496567&amp;date=21.08.2025&amp;dst=100171&amp;field=134" TargetMode="External"/><Relationship Id="rId17" Type="http://schemas.openxmlformats.org/officeDocument/2006/relationships/hyperlink" Target="https://login.consultant.ru/link/?req=doc&amp;base=LAW&amp;n=400938&amp;date=21.08.2025&amp;dst=100050&amp;field=134" TargetMode="External"/><Relationship Id="rId25" Type="http://schemas.openxmlformats.org/officeDocument/2006/relationships/hyperlink" Target="https://login.consultant.ru/link/?req=doc&amp;base=LAW&amp;n=400938&amp;date=21.08.2025&amp;dst=100086&amp;field=134" TargetMode="External"/><Relationship Id="rId33" Type="http://schemas.openxmlformats.org/officeDocument/2006/relationships/hyperlink" Target="https://login.consultant.ru/link/?req=doc&amp;base=LAW&amp;n=400938&amp;date=21.08.2025&amp;dst=100145&amp;field=13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4499&amp;date=21.08.2025&amp;dst=5803&amp;field=134" TargetMode="External"/><Relationship Id="rId20" Type="http://schemas.openxmlformats.org/officeDocument/2006/relationships/hyperlink" Target="https://login.consultant.ru/link/?req=doc&amp;base=LAW&amp;n=400938&amp;date=21.08.2025&amp;dst=100083&amp;field=134" TargetMode="External"/><Relationship Id="rId29" Type="http://schemas.openxmlformats.org/officeDocument/2006/relationships/hyperlink" Target="https://login.consultant.ru/link/?req=doc&amp;base=LAW&amp;n=400938&amp;date=21.08.2025&amp;dst=10019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6567&amp;date=21.08.2025&amp;dst=100170&amp;field=134" TargetMode="External"/><Relationship Id="rId24" Type="http://schemas.openxmlformats.org/officeDocument/2006/relationships/hyperlink" Target="https://login.consultant.ru/link/?req=doc&amp;base=LAW&amp;n=400938&amp;date=21.08.2025&amp;dst=100144&amp;field=134" TargetMode="External"/><Relationship Id="rId32" Type="http://schemas.openxmlformats.org/officeDocument/2006/relationships/hyperlink" Target="https://login.consultant.ru/link/?req=doc&amp;base=LAW&amp;n=400938&amp;date=21.08.2025&amp;dst=100227&amp;field=134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4499&amp;date=21.08.2025&amp;dst=4469&amp;field=134" TargetMode="External"/><Relationship Id="rId23" Type="http://schemas.openxmlformats.org/officeDocument/2006/relationships/hyperlink" Target="https://login.consultant.ru/link/?req=doc&amp;base=LAW&amp;n=400938&amp;date=21.08.2025&amp;dst=100087&amp;field=134" TargetMode="External"/><Relationship Id="rId28" Type="http://schemas.openxmlformats.org/officeDocument/2006/relationships/hyperlink" Target="https://login.consultant.ru/link/?req=doc&amp;base=LAW&amp;n=400938&amp;date=21.08.2025&amp;dst=100194&amp;field=13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0938&amp;date=21.08.2025&amp;dst=100037&amp;field=134" TargetMode="External"/><Relationship Id="rId19" Type="http://schemas.openxmlformats.org/officeDocument/2006/relationships/hyperlink" Target="https://login.consultant.ru/link/?req=doc&amp;base=LAW&amp;n=400938&amp;date=21.08.2025&amp;dst=100082&amp;field=134" TargetMode="External"/><Relationship Id="rId31" Type="http://schemas.openxmlformats.org/officeDocument/2006/relationships/hyperlink" Target="https://login.consultant.ru/link/?req=doc&amp;base=LAW&amp;n=400938&amp;date=21.08.2025&amp;dst=10021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938&amp;date=21.08.2025&amp;dst=100010&amp;field=134" TargetMode="External"/><Relationship Id="rId14" Type="http://schemas.openxmlformats.org/officeDocument/2006/relationships/hyperlink" Target="https://login.consultant.ru/link/?req=doc&amp;base=LAW&amp;n=444499&amp;date=21.08.2025&amp;dst=3301&amp;field=134" TargetMode="External"/><Relationship Id="rId22" Type="http://schemas.openxmlformats.org/officeDocument/2006/relationships/hyperlink" Target="https://login.consultant.ru/link/?req=doc&amp;base=LAW&amp;n=400938&amp;date=21.08.2025&amp;dst=100084&amp;field=134" TargetMode="External"/><Relationship Id="rId27" Type="http://schemas.openxmlformats.org/officeDocument/2006/relationships/hyperlink" Target="https://login.consultant.ru/link/?req=doc&amp;base=LAW&amp;n=400938&amp;date=21.08.2025&amp;dst=100163&amp;field=134" TargetMode="External"/><Relationship Id="rId30" Type="http://schemas.openxmlformats.org/officeDocument/2006/relationships/hyperlink" Target="https://login.consultant.ru/link/?req=doc&amp;base=LAW&amp;n=400938&amp;date=21.08.2025&amp;dst=100199&amp;field=134" TargetMode="External"/><Relationship Id="rId35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00938&amp;date=21.08.2025&amp;dst=100030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21.12.2023 N 2244
"О внесении изменений в постановление Правительства Российской Федерации от 25 июня 2021 г. N 991"</vt:lpstr>
    </vt:vector>
  </TitlesOfParts>
  <Company>КонсультантПлюс Версия 4024.00.50</Company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21.12.2023 N 2244
"О внесении изменений в постановление Правительства Российской Федерации от 25 июня 2021 г. N 991"</dc:title>
  <dc:creator>Канатчикова Екатерина Юрьевна</dc:creator>
  <cp:lastModifiedBy>Канатчикова Екатерина Юрьевна</cp:lastModifiedBy>
  <cp:revision>2</cp:revision>
  <dcterms:created xsi:type="dcterms:W3CDTF">2025-08-21T10:58:00Z</dcterms:created>
  <dcterms:modified xsi:type="dcterms:W3CDTF">2025-08-21T10:58:00Z</dcterms:modified>
</cp:coreProperties>
</file>